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0B92" w14:textId="77777777" w:rsidR="00447914" w:rsidRPr="00E03344" w:rsidRDefault="00452E22" w:rsidP="00030B57">
      <w:pPr>
        <w:pStyle w:val="NoSpacing"/>
        <w:jc w:val="center"/>
        <w:rPr>
          <w:rFonts w:ascii="Verdana" w:hAnsi="Verdana"/>
          <w:sz w:val="32"/>
          <w:szCs w:val="27"/>
        </w:rPr>
      </w:pPr>
      <w:r w:rsidRPr="00E03344">
        <w:rPr>
          <w:rFonts w:ascii="Verdana" w:hAnsi="Verdana"/>
          <w:sz w:val="32"/>
          <w:szCs w:val="27"/>
        </w:rPr>
        <w:t>Temporary Accessibility Solutions for Election Day</w:t>
      </w:r>
    </w:p>
    <w:p w14:paraId="2DF9A99F" w14:textId="77777777" w:rsidR="00447914" w:rsidRPr="00E03344" w:rsidRDefault="00447914" w:rsidP="00030B57">
      <w:pPr>
        <w:pStyle w:val="NoSpacing"/>
        <w:jc w:val="center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sz w:val="32"/>
          <w:szCs w:val="27"/>
        </w:rPr>
        <w:t>Prepared by:</w:t>
      </w:r>
      <w:r w:rsidR="00030B57" w:rsidRPr="00E03344">
        <w:rPr>
          <w:rFonts w:ascii="Verdana" w:hAnsi="Verdana"/>
          <w:sz w:val="27"/>
          <w:szCs w:val="27"/>
        </w:rPr>
        <w:br/>
      </w:r>
    </w:p>
    <w:p w14:paraId="5DECFA79" w14:textId="3ED63B3C" w:rsidR="00447914" w:rsidRPr="00E03344" w:rsidRDefault="00410BEC" w:rsidP="00447914">
      <w:pPr>
        <w:jc w:val="center"/>
        <w:rPr>
          <w:rFonts w:ascii="Verdana" w:hAnsi="Verdana"/>
          <w:sz w:val="27"/>
          <w:szCs w:val="27"/>
        </w:rPr>
      </w:pPr>
      <w:r w:rsidRPr="00410BEC">
        <w:rPr>
          <w:rFonts w:ascii="Verdana" w:hAnsi="Verdana"/>
          <w:sz w:val="27"/>
          <w:szCs w:val="27"/>
        </w:rPr>
        <w:drawing>
          <wp:inline distT="0" distB="0" distL="0" distR="0" wp14:anchorId="3BAB4EF4" wp14:editId="634524F3">
            <wp:extent cx="2766851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2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914" w:rsidRPr="00E03344">
        <w:rPr>
          <w:rFonts w:ascii="Verdana" w:hAnsi="Verdana"/>
          <w:sz w:val="27"/>
          <w:szCs w:val="27"/>
        </w:rPr>
        <w:t xml:space="preserve"> </w:t>
      </w:r>
    </w:p>
    <w:p w14:paraId="6751D942" w14:textId="77777777" w:rsidR="00447914" w:rsidRPr="00E03344" w:rsidRDefault="00447914" w:rsidP="00447914">
      <w:p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sz w:val="27"/>
          <w:szCs w:val="27"/>
        </w:rPr>
        <w:t xml:space="preserve">The </w:t>
      </w:r>
      <w:r w:rsidRPr="00E03344">
        <w:rPr>
          <w:rFonts w:ascii="Verdana" w:hAnsi="Verdana"/>
          <w:sz w:val="27"/>
          <w:szCs w:val="27"/>
          <w:u w:val="single"/>
        </w:rPr>
        <w:t>H</w:t>
      </w:r>
      <w:r w:rsidRPr="00E03344">
        <w:rPr>
          <w:rFonts w:ascii="Verdana" w:hAnsi="Verdana"/>
          <w:sz w:val="27"/>
          <w:szCs w:val="27"/>
        </w:rPr>
        <w:t xml:space="preserve">elp </w:t>
      </w:r>
      <w:r w:rsidRPr="00E03344">
        <w:rPr>
          <w:rFonts w:ascii="Verdana" w:hAnsi="Verdana"/>
          <w:sz w:val="27"/>
          <w:szCs w:val="27"/>
          <w:u w:val="single"/>
        </w:rPr>
        <w:t>A</w:t>
      </w:r>
      <w:r w:rsidRPr="00E03344">
        <w:rPr>
          <w:rFonts w:ascii="Verdana" w:hAnsi="Verdana"/>
          <w:sz w:val="27"/>
          <w:szCs w:val="27"/>
        </w:rPr>
        <w:t xml:space="preserve">merica </w:t>
      </w:r>
      <w:r w:rsidRPr="00E03344">
        <w:rPr>
          <w:rFonts w:ascii="Verdana" w:hAnsi="Verdana"/>
          <w:sz w:val="27"/>
          <w:szCs w:val="27"/>
          <w:u w:val="single"/>
        </w:rPr>
        <w:t>V</w:t>
      </w:r>
      <w:r w:rsidRPr="00E03344">
        <w:rPr>
          <w:rFonts w:ascii="Verdana" w:hAnsi="Verdana"/>
          <w:sz w:val="27"/>
          <w:szCs w:val="27"/>
        </w:rPr>
        <w:t xml:space="preserve">ote </w:t>
      </w:r>
      <w:r w:rsidRPr="00E03344">
        <w:rPr>
          <w:rFonts w:ascii="Verdana" w:hAnsi="Verdana"/>
          <w:sz w:val="27"/>
          <w:szCs w:val="27"/>
          <w:u w:val="single"/>
        </w:rPr>
        <w:t>A</w:t>
      </w:r>
      <w:r w:rsidRPr="00E03344">
        <w:rPr>
          <w:rFonts w:ascii="Verdana" w:hAnsi="Verdana"/>
          <w:sz w:val="27"/>
          <w:szCs w:val="27"/>
        </w:rPr>
        <w:t>ct (HAVA) is a federal law which ensures that each and every American citizen</w:t>
      </w:r>
      <w:r w:rsidR="00030B57" w:rsidRPr="00E03344">
        <w:rPr>
          <w:rFonts w:ascii="Verdana" w:hAnsi="Verdana"/>
          <w:sz w:val="27"/>
          <w:szCs w:val="27"/>
        </w:rPr>
        <w:t xml:space="preserve"> who is legally eligible to vote is able to fully exercise their right</w:t>
      </w:r>
      <w:r w:rsidRPr="00E03344">
        <w:rPr>
          <w:rFonts w:ascii="Verdana" w:hAnsi="Verdana"/>
          <w:sz w:val="27"/>
          <w:szCs w:val="27"/>
        </w:rPr>
        <w:t xml:space="preserve"> to vote; it makes the voting process and the voting place accessible to </w:t>
      </w:r>
      <w:r w:rsidRPr="00E03344">
        <w:rPr>
          <w:rFonts w:ascii="Verdana" w:hAnsi="Verdana"/>
          <w:sz w:val="27"/>
          <w:szCs w:val="27"/>
          <w:u w:val="single"/>
        </w:rPr>
        <w:t>ALL</w:t>
      </w:r>
      <w:r w:rsidRPr="00E03344">
        <w:rPr>
          <w:rFonts w:ascii="Verdana" w:hAnsi="Verdana"/>
          <w:sz w:val="27"/>
          <w:szCs w:val="27"/>
        </w:rPr>
        <w:t xml:space="preserve"> eligible voters.</w:t>
      </w:r>
    </w:p>
    <w:p w14:paraId="4A08A8FE" w14:textId="77777777" w:rsidR="00486C99" w:rsidRPr="00E03344" w:rsidRDefault="00447914" w:rsidP="00E83B91">
      <w:p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sz w:val="27"/>
          <w:szCs w:val="27"/>
          <w:u w:val="single"/>
        </w:rPr>
        <w:t>P</w:t>
      </w:r>
      <w:r w:rsidRPr="00E03344">
        <w:rPr>
          <w:rFonts w:ascii="Verdana" w:hAnsi="Verdana"/>
          <w:sz w:val="27"/>
          <w:szCs w:val="27"/>
        </w:rPr>
        <w:t xml:space="preserve">rotection and </w:t>
      </w:r>
      <w:r w:rsidRPr="00E03344">
        <w:rPr>
          <w:rFonts w:ascii="Verdana" w:hAnsi="Verdana"/>
          <w:sz w:val="27"/>
          <w:szCs w:val="27"/>
          <w:u w:val="single"/>
        </w:rPr>
        <w:t>A</w:t>
      </w:r>
      <w:r w:rsidRPr="00E03344">
        <w:rPr>
          <w:rFonts w:ascii="Verdana" w:hAnsi="Verdana"/>
          <w:sz w:val="27"/>
          <w:szCs w:val="27"/>
        </w:rPr>
        <w:t xml:space="preserve">dvocacy for </w:t>
      </w:r>
      <w:r w:rsidRPr="00E03344">
        <w:rPr>
          <w:rFonts w:ascii="Verdana" w:hAnsi="Verdana"/>
          <w:sz w:val="27"/>
          <w:szCs w:val="27"/>
          <w:u w:val="single"/>
        </w:rPr>
        <w:t>V</w:t>
      </w:r>
      <w:r w:rsidRPr="00E03344">
        <w:rPr>
          <w:rFonts w:ascii="Verdana" w:hAnsi="Verdana"/>
          <w:sz w:val="27"/>
          <w:szCs w:val="27"/>
        </w:rPr>
        <w:t xml:space="preserve">oting </w:t>
      </w:r>
      <w:r w:rsidRPr="00E03344">
        <w:rPr>
          <w:rFonts w:ascii="Verdana" w:hAnsi="Verdana"/>
          <w:sz w:val="27"/>
          <w:szCs w:val="27"/>
          <w:u w:val="single"/>
        </w:rPr>
        <w:t>A</w:t>
      </w:r>
      <w:r w:rsidR="009A7FFB">
        <w:rPr>
          <w:rFonts w:ascii="Verdana" w:hAnsi="Verdana"/>
          <w:sz w:val="27"/>
          <w:szCs w:val="27"/>
        </w:rPr>
        <w:t>ccess (PAVA) was e</w:t>
      </w:r>
      <w:r w:rsidRPr="00E03344">
        <w:rPr>
          <w:rFonts w:ascii="Verdana" w:hAnsi="Verdana"/>
          <w:sz w:val="27"/>
          <w:szCs w:val="27"/>
        </w:rPr>
        <w:t>stablished in 2003 as part of HAVA.  PAVA ensures that</w:t>
      </w:r>
      <w:r w:rsidR="00D02A19" w:rsidRPr="00E03344">
        <w:rPr>
          <w:rFonts w:ascii="Verdana" w:hAnsi="Verdana"/>
          <w:sz w:val="27"/>
          <w:szCs w:val="27"/>
        </w:rPr>
        <w:t xml:space="preserve"> legally eligible</w:t>
      </w:r>
      <w:r w:rsidRPr="00E03344">
        <w:rPr>
          <w:rFonts w:ascii="Verdana" w:hAnsi="Verdana"/>
          <w:sz w:val="27"/>
          <w:szCs w:val="27"/>
        </w:rPr>
        <w:t xml:space="preserve"> individuals with disabilities have full participation in the electoral process through voter education regarding registering to vote, casting a vote and accessing the polling sites.   West Virginia Advocates (WVA) is the grantee for PAVA.  </w:t>
      </w:r>
      <w:r w:rsidR="00D02A19" w:rsidRPr="00E03344">
        <w:rPr>
          <w:rFonts w:ascii="Verdana" w:hAnsi="Verdana"/>
          <w:sz w:val="27"/>
          <w:szCs w:val="27"/>
        </w:rPr>
        <w:t xml:space="preserve"> </w:t>
      </w:r>
    </w:p>
    <w:p w14:paraId="49480751" w14:textId="77777777" w:rsidR="00447914" w:rsidRPr="00E03344" w:rsidRDefault="00486C99" w:rsidP="00E83B91">
      <w:p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sz w:val="27"/>
          <w:szCs w:val="27"/>
        </w:rPr>
        <w:t xml:space="preserve">The following are accommodations that can be made to temporarily resolve common accessibility issues on Election Day: </w:t>
      </w:r>
    </w:p>
    <w:p w14:paraId="6B4D8F9B" w14:textId="77777777" w:rsidR="00486C99" w:rsidRPr="00E03344" w:rsidRDefault="00486C99" w:rsidP="00486C99">
      <w:pPr>
        <w:pStyle w:val="NoSpacing"/>
        <w:numPr>
          <w:ilvl w:val="0"/>
          <w:numId w:val="3"/>
        </w:num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>Problem:</w:t>
      </w:r>
      <w:r w:rsidRPr="00E03344">
        <w:rPr>
          <w:rFonts w:ascii="Verdana" w:hAnsi="Verdana"/>
          <w:sz w:val="27"/>
          <w:szCs w:val="27"/>
        </w:rPr>
        <w:t xml:space="preserve"> </w:t>
      </w:r>
      <w:r w:rsidRPr="00E03344">
        <w:rPr>
          <w:rFonts w:ascii="Verdana" w:hAnsi="Verdana" w:cs="Arial"/>
          <w:sz w:val="27"/>
          <w:szCs w:val="27"/>
        </w:rPr>
        <w:t>Entrance door to the building is heavy and difficult to open.</w:t>
      </w:r>
    </w:p>
    <w:p w14:paraId="198B1DB4" w14:textId="77777777" w:rsidR="00486C99" w:rsidRPr="00E03344" w:rsidRDefault="00486C99" w:rsidP="00486C99">
      <w:pPr>
        <w:pStyle w:val="NoSpacing"/>
        <w:numPr>
          <w:ilvl w:val="0"/>
          <w:numId w:val="4"/>
        </w:numPr>
        <w:jc w:val="both"/>
        <w:rPr>
          <w:rFonts w:ascii="Verdana" w:hAnsi="Verdana"/>
          <w:b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 xml:space="preserve">Solution: </w:t>
      </w:r>
      <w:r w:rsidRPr="00E03344">
        <w:rPr>
          <w:rFonts w:ascii="Verdana" w:hAnsi="Verdana" w:cs="Arial"/>
          <w:sz w:val="27"/>
          <w:szCs w:val="27"/>
        </w:rPr>
        <w:t>Keep the door propped open or station volunteers near the door to open it for voters.</w:t>
      </w:r>
    </w:p>
    <w:p w14:paraId="08FF478E" w14:textId="77777777" w:rsidR="00486C99" w:rsidRPr="00E03344" w:rsidRDefault="00486C99" w:rsidP="00486C99">
      <w:pPr>
        <w:pStyle w:val="NoSpacing"/>
        <w:jc w:val="both"/>
        <w:rPr>
          <w:rFonts w:ascii="Verdana" w:hAnsi="Verdana"/>
          <w:b/>
          <w:sz w:val="27"/>
          <w:szCs w:val="27"/>
        </w:rPr>
      </w:pPr>
    </w:p>
    <w:p w14:paraId="4468B8CD" w14:textId="77777777" w:rsidR="00486C99" w:rsidRPr="00E03344" w:rsidRDefault="00486C99" w:rsidP="00410BEC">
      <w:pPr>
        <w:pStyle w:val="NoSpacing"/>
        <w:numPr>
          <w:ilvl w:val="0"/>
          <w:numId w:val="3"/>
        </w:numPr>
        <w:jc w:val="both"/>
        <w:rPr>
          <w:rFonts w:ascii="Verdana" w:hAnsi="Verdana"/>
          <w:sz w:val="27"/>
          <w:szCs w:val="27"/>
        </w:rPr>
      </w:pPr>
      <w:bookmarkStart w:id="0" w:name="_GoBack"/>
      <w:bookmarkEnd w:id="0"/>
      <w:r w:rsidRPr="00E03344">
        <w:rPr>
          <w:rFonts w:ascii="Verdana" w:hAnsi="Verdana"/>
          <w:b/>
          <w:sz w:val="27"/>
          <w:szCs w:val="27"/>
        </w:rPr>
        <w:t>Problem:</w:t>
      </w:r>
      <w:r w:rsidRPr="00E03344">
        <w:rPr>
          <w:rFonts w:ascii="Verdana" w:hAnsi="Verdana"/>
          <w:sz w:val="27"/>
          <w:szCs w:val="27"/>
        </w:rPr>
        <w:t xml:space="preserve"> The accessible entrance is different from other entrance(s). </w:t>
      </w:r>
    </w:p>
    <w:p w14:paraId="00865C61" w14:textId="77777777" w:rsidR="00486C99" w:rsidRPr="00E03344" w:rsidRDefault="00486C99" w:rsidP="00486C99">
      <w:pPr>
        <w:pStyle w:val="NoSpacing"/>
        <w:numPr>
          <w:ilvl w:val="0"/>
          <w:numId w:val="4"/>
        </w:numPr>
        <w:jc w:val="both"/>
        <w:rPr>
          <w:rFonts w:ascii="Verdana" w:hAnsi="Verdana"/>
          <w:b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>Solution:</w:t>
      </w:r>
      <w:r w:rsidRPr="00E03344">
        <w:rPr>
          <w:rFonts w:ascii="Verdana" w:hAnsi="Verdana"/>
          <w:sz w:val="27"/>
          <w:szCs w:val="27"/>
        </w:rPr>
        <w:t xml:space="preserve"> Place </w:t>
      </w:r>
      <w:r w:rsidRPr="00E03344">
        <w:rPr>
          <w:rFonts w:ascii="Verdana" w:hAnsi="Verdana" w:cs="Arial"/>
          <w:sz w:val="27"/>
          <w:szCs w:val="27"/>
        </w:rPr>
        <w:t>signs at key points/areas to direct voters with disabilities to the voting area.</w:t>
      </w:r>
    </w:p>
    <w:p w14:paraId="3D92A8CA" w14:textId="77777777" w:rsidR="00E83B91" w:rsidRPr="00E03344" w:rsidRDefault="00E83B91" w:rsidP="00E83B91">
      <w:pPr>
        <w:pStyle w:val="NoSpacing"/>
        <w:ind w:left="720"/>
        <w:jc w:val="both"/>
        <w:rPr>
          <w:rFonts w:ascii="Verdana" w:hAnsi="Verdana"/>
          <w:b/>
          <w:sz w:val="27"/>
          <w:szCs w:val="27"/>
        </w:rPr>
      </w:pPr>
    </w:p>
    <w:p w14:paraId="3E622606" w14:textId="77777777" w:rsidR="00486C99" w:rsidRPr="00E03344" w:rsidRDefault="00486C99" w:rsidP="00486C99">
      <w:pPr>
        <w:pStyle w:val="NoSpacing"/>
        <w:numPr>
          <w:ilvl w:val="0"/>
          <w:numId w:val="3"/>
        </w:num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>Problem:</w:t>
      </w:r>
      <w:r w:rsidRPr="00E03344">
        <w:rPr>
          <w:rFonts w:ascii="Verdana" w:hAnsi="Verdana"/>
          <w:sz w:val="27"/>
          <w:szCs w:val="27"/>
        </w:rPr>
        <w:t xml:space="preserve"> The v</w:t>
      </w:r>
      <w:r w:rsidRPr="00E03344">
        <w:rPr>
          <w:rFonts w:ascii="Verdana" w:hAnsi="Verdana" w:cs="Arial"/>
          <w:sz w:val="27"/>
          <w:szCs w:val="27"/>
        </w:rPr>
        <w:t>oting area is not on an accessible route and cannot be made accessible.</w:t>
      </w:r>
    </w:p>
    <w:p w14:paraId="565994E9" w14:textId="77777777" w:rsidR="00486C99" w:rsidRPr="00E03344" w:rsidRDefault="00486C99" w:rsidP="00290B84">
      <w:pPr>
        <w:pStyle w:val="NoSpacing"/>
        <w:numPr>
          <w:ilvl w:val="0"/>
          <w:numId w:val="4"/>
        </w:numPr>
        <w:jc w:val="both"/>
        <w:rPr>
          <w:rFonts w:ascii="Verdana" w:hAnsi="Verdana"/>
          <w:b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>Solution:</w:t>
      </w:r>
      <w:r w:rsidRPr="00E03344">
        <w:rPr>
          <w:rFonts w:ascii="Verdana" w:hAnsi="Verdana"/>
          <w:sz w:val="27"/>
          <w:szCs w:val="27"/>
        </w:rPr>
        <w:t xml:space="preserve"> </w:t>
      </w:r>
      <w:r w:rsidRPr="00E03344">
        <w:rPr>
          <w:rFonts w:ascii="Verdana" w:hAnsi="Verdana" w:cs="Arial"/>
          <w:sz w:val="27"/>
          <w:szCs w:val="27"/>
        </w:rPr>
        <w:t>Look for another area where accessible voting may be provided.</w:t>
      </w:r>
    </w:p>
    <w:p w14:paraId="45B29B97" w14:textId="77777777" w:rsidR="00486C99" w:rsidRPr="00E03344" w:rsidRDefault="00486C99" w:rsidP="00486C99">
      <w:pPr>
        <w:pStyle w:val="NoSpacing"/>
        <w:numPr>
          <w:ilvl w:val="0"/>
          <w:numId w:val="3"/>
        </w:num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lastRenderedPageBreak/>
        <w:t>Problem:</w:t>
      </w:r>
      <w:r w:rsidRPr="00E03344">
        <w:rPr>
          <w:rFonts w:ascii="Verdana" w:hAnsi="Verdana"/>
          <w:sz w:val="27"/>
          <w:szCs w:val="27"/>
        </w:rPr>
        <w:t xml:space="preserve"> Lack of Accessible Parking</w:t>
      </w:r>
    </w:p>
    <w:p w14:paraId="7007CDBD" w14:textId="77777777" w:rsidR="00486C99" w:rsidRPr="00E03344" w:rsidRDefault="00486C99" w:rsidP="00486C99">
      <w:pPr>
        <w:pStyle w:val="NoSpacing"/>
        <w:numPr>
          <w:ilvl w:val="0"/>
          <w:numId w:val="4"/>
        </w:numPr>
        <w:jc w:val="both"/>
        <w:rPr>
          <w:rFonts w:ascii="Verdana" w:hAnsi="Verdana"/>
          <w:b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>Solution:</w:t>
      </w:r>
      <w:r w:rsidRPr="00E03344">
        <w:rPr>
          <w:rFonts w:ascii="Verdana" w:hAnsi="Verdana"/>
          <w:sz w:val="27"/>
          <w:szCs w:val="27"/>
        </w:rPr>
        <w:t xml:space="preserve"> T</w:t>
      </w:r>
      <w:r w:rsidRPr="00E03344">
        <w:rPr>
          <w:rFonts w:ascii="Verdana" w:hAnsi="Verdana" w:cs="Arial"/>
          <w:sz w:val="27"/>
          <w:szCs w:val="27"/>
        </w:rPr>
        <w:t>raffic cones, or other temporary elements, may be used to mark the spaces and access aisles that are closest to the accessible entrance.  Provide a sign designating each accessible parking space.</w:t>
      </w:r>
    </w:p>
    <w:p w14:paraId="766CBC59" w14:textId="77777777" w:rsidR="00F653B8" w:rsidRPr="00E03344" w:rsidRDefault="00F653B8" w:rsidP="00735D2B">
      <w:pPr>
        <w:pStyle w:val="NoSpacing"/>
        <w:jc w:val="both"/>
        <w:rPr>
          <w:rFonts w:ascii="Verdana" w:hAnsi="Verdana"/>
          <w:sz w:val="27"/>
          <w:szCs w:val="27"/>
        </w:rPr>
      </w:pPr>
    </w:p>
    <w:p w14:paraId="4482A9BA" w14:textId="77777777" w:rsidR="00486C99" w:rsidRPr="00E03344" w:rsidRDefault="00486C99" w:rsidP="00486C99">
      <w:pPr>
        <w:pStyle w:val="NoSpacing"/>
        <w:numPr>
          <w:ilvl w:val="0"/>
          <w:numId w:val="3"/>
        </w:num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>Problem:</w:t>
      </w:r>
      <w:r w:rsidRPr="00E03344">
        <w:rPr>
          <w:rFonts w:ascii="Verdana" w:hAnsi="Verdana"/>
          <w:sz w:val="27"/>
          <w:szCs w:val="27"/>
        </w:rPr>
        <w:t xml:space="preserve"> </w:t>
      </w:r>
      <w:r w:rsidRPr="00E03344">
        <w:rPr>
          <w:rFonts w:ascii="Verdana" w:hAnsi="Verdana" w:cs="Arial"/>
          <w:sz w:val="27"/>
          <w:szCs w:val="27"/>
        </w:rPr>
        <w:t>The accessible route crosses a curb and no curb ramp is provided or one or two steps are part of the walkway leading to the accessible entrance</w:t>
      </w:r>
    </w:p>
    <w:p w14:paraId="63B62719" w14:textId="77777777" w:rsidR="00486C99" w:rsidRPr="00E03344" w:rsidRDefault="00486C99" w:rsidP="00486C99">
      <w:pPr>
        <w:pStyle w:val="NoSpacing"/>
        <w:numPr>
          <w:ilvl w:val="0"/>
          <w:numId w:val="4"/>
        </w:numPr>
        <w:jc w:val="both"/>
        <w:rPr>
          <w:rFonts w:ascii="Verdana" w:hAnsi="Verdana"/>
          <w:b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>Solution:</w:t>
      </w:r>
      <w:r w:rsidRPr="00E03344">
        <w:rPr>
          <w:rFonts w:ascii="Verdana" w:hAnsi="Verdana"/>
          <w:sz w:val="27"/>
          <w:szCs w:val="27"/>
        </w:rPr>
        <w:t xml:space="preserve"> </w:t>
      </w:r>
      <w:r w:rsidRPr="00E03344">
        <w:rPr>
          <w:rFonts w:ascii="Verdana" w:hAnsi="Verdana" w:cs="Arial"/>
          <w:sz w:val="27"/>
          <w:szCs w:val="27"/>
        </w:rPr>
        <w:t>Install a portable ramp with edge protection and handrails.</w:t>
      </w:r>
    </w:p>
    <w:p w14:paraId="5E06E4D0" w14:textId="77777777" w:rsidR="00930170" w:rsidRPr="00E03344" w:rsidRDefault="00930170" w:rsidP="00735D2B">
      <w:pPr>
        <w:pStyle w:val="NoSpacing"/>
        <w:jc w:val="both"/>
        <w:rPr>
          <w:rFonts w:ascii="Verdana" w:hAnsi="Verdana"/>
          <w:sz w:val="27"/>
          <w:szCs w:val="27"/>
        </w:rPr>
      </w:pPr>
    </w:p>
    <w:p w14:paraId="4984EDA2" w14:textId="77777777" w:rsidR="00F653B8" w:rsidRPr="00E03344" w:rsidRDefault="00735D2B" w:rsidP="00735D2B">
      <w:pPr>
        <w:pStyle w:val="NoSpacing"/>
        <w:numPr>
          <w:ilvl w:val="0"/>
          <w:numId w:val="3"/>
        </w:num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b/>
          <w:sz w:val="27"/>
          <w:szCs w:val="27"/>
        </w:rPr>
        <w:t>Remember:</w:t>
      </w:r>
      <w:r w:rsidRPr="00E03344">
        <w:rPr>
          <w:rFonts w:ascii="Verdana" w:hAnsi="Verdana"/>
          <w:sz w:val="27"/>
          <w:szCs w:val="27"/>
        </w:rPr>
        <w:t xml:space="preserve"> </w:t>
      </w:r>
      <w:r w:rsidRPr="00E03344">
        <w:rPr>
          <w:rFonts w:ascii="Verdana" w:hAnsi="Verdana" w:cs="Arial"/>
          <w:sz w:val="27"/>
          <w:szCs w:val="27"/>
        </w:rPr>
        <w:t xml:space="preserve">The accessible voting area must be on an accessible route and have an accessible entrance </w:t>
      </w:r>
      <w:r w:rsidR="00F0539E" w:rsidRPr="00E03344">
        <w:rPr>
          <w:rFonts w:ascii="Verdana" w:hAnsi="Verdana" w:cs="Arial"/>
          <w:sz w:val="27"/>
          <w:szCs w:val="27"/>
        </w:rPr>
        <w:t>with</w:t>
      </w:r>
      <w:r w:rsidRPr="00E03344">
        <w:rPr>
          <w:rFonts w:ascii="Verdana" w:hAnsi="Verdana" w:cs="Arial"/>
          <w:sz w:val="27"/>
          <w:szCs w:val="27"/>
        </w:rPr>
        <w:t xml:space="preserve"> adequate circulation and maneuvering space for voters who use wheelchairs or scooters or who walk with mobility aids.</w:t>
      </w:r>
      <w:r w:rsidR="00602BAF">
        <w:rPr>
          <w:rFonts w:ascii="Verdana" w:hAnsi="Verdana" w:cs="Arial"/>
          <w:sz w:val="27"/>
          <w:szCs w:val="27"/>
        </w:rPr>
        <w:t xml:space="preserve">  Each polling site should </w:t>
      </w:r>
      <w:r w:rsidR="00602BAF" w:rsidRPr="00602BAF">
        <w:rPr>
          <w:rFonts w:ascii="Verdana" w:hAnsi="Verdana" w:cs="Arial"/>
          <w:sz w:val="27"/>
          <w:szCs w:val="27"/>
        </w:rPr>
        <w:t>have at least ONE accessible electronic voting machine.</w:t>
      </w:r>
    </w:p>
    <w:p w14:paraId="0B9D332D" w14:textId="77777777" w:rsidR="00930170" w:rsidRPr="00E03344" w:rsidRDefault="00930170" w:rsidP="00486C99">
      <w:pPr>
        <w:pStyle w:val="NoSpacing"/>
        <w:ind w:left="720"/>
        <w:jc w:val="both"/>
        <w:rPr>
          <w:rFonts w:ascii="Verdana" w:hAnsi="Verdana"/>
          <w:sz w:val="27"/>
          <w:szCs w:val="27"/>
        </w:rPr>
      </w:pPr>
    </w:p>
    <w:p w14:paraId="28C0F83A" w14:textId="77777777" w:rsidR="00930170" w:rsidRPr="00E03344" w:rsidRDefault="00930170" w:rsidP="00290B84">
      <w:pPr>
        <w:jc w:val="both"/>
        <w:rPr>
          <w:rStyle w:val="Hyperlink"/>
          <w:rFonts w:ascii="Verdana" w:hAnsi="Verdana"/>
          <w:color w:val="0000FF"/>
          <w:sz w:val="16"/>
          <w:szCs w:val="16"/>
        </w:rPr>
      </w:pPr>
      <w:r w:rsidRPr="00E03344">
        <w:rPr>
          <w:rFonts w:ascii="Verdana" w:hAnsi="Verdana"/>
          <w:sz w:val="27"/>
          <w:szCs w:val="27"/>
        </w:rPr>
        <w:t xml:space="preserve">The U.S. Election Assistance Commission </w:t>
      </w:r>
      <w:r w:rsidR="00DC6C3F">
        <w:rPr>
          <w:rFonts w:ascii="Verdana" w:hAnsi="Verdana"/>
          <w:sz w:val="27"/>
          <w:szCs w:val="27"/>
        </w:rPr>
        <w:t xml:space="preserve">(EAC) </w:t>
      </w:r>
      <w:r w:rsidRPr="00E03344">
        <w:rPr>
          <w:rFonts w:ascii="Verdana" w:hAnsi="Verdana"/>
          <w:sz w:val="27"/>
          <w:szCs w:val="27"/>
        </w:rPr>
        <w:t>has created a video on Ma</w:t>
      </w:r>
      <w:r w:rsidR="00E03344">
        <w:rPr>
          <w:rFonts w:ascii="Verdana" w:hAnsi="Verdana"/>
          <w:sz w:val="27"/>
          <w:szCs w:val="27"/>
        </w:rPr>
        <w:t>king Polling Places Accessible.</w:t>
      </w:r>
      <w:r w:rsidRPr="00E03344">
        <w:rPr>
          <w:rFonts w:ascii="Verdana" w:hAnsi="Verdana"/>
          <w:sz w:val="27"/>
          <w:szCs w:val="27"/>
        </w:rPr>
        <w:t xml:space="preserve"> It can be found online at </w:t>
      </w:r>
      <w:hyperlink r:id="rId7" w:history="1">
        <w:r w:rsidRPr="00E03344">
          <w:rPr>
            <w:rStyle w:val="Hyperlink"/>
            <w:rFonts w:ascii="Verdana" w:hAnsi="Verdana"/>
            <w:sz w:val="27"/>
            <w:szCs w:val="27"/>
          </w:rPr>
          <w:t>http://www.eac.gov/making_polling_places_accessible/</w:t>
        </w:r>
      </w:hyperlink>
      <w:r w:rsidR="00E03344">
        <w:rPr>
          <w:rFonts w:ascii="Verdana" w:hAnsi="Verdana"/>
          <w:sz w:val="27"/>
          <w:szCs w:val="27"/>
        </w:rPr>
        <w:t xml:space="preserve">. </w:t>
      </w:r>
      <w:r w:rsidR="00486C99" w:rsidRPr="00E03344">
        <w:rPr>
          <w:rFonts w:ascii="Verdana" w:hAnsi="Verdana"/>
          <w:sz w:val="27"/>
          <w:szCs w:val="27"/>
        </w:rPr>
        <w:t xml:space="preserve">The ADA Checklist for Polling Places can be found online at </w:t>
      </w:r>
      <w:hyperlink r:id="rId8" w:history="1">
        <w:r w:rsidR="00486C99" w:rsidRPr="00E03344">
          <w:rPr>
            <w:rStyle w:val="Hyperlink"/>
            <w:rFonts w:ascii="Verdana" w:hAnsi="Verdana"/>
            <w:sz w:val="27"/>
            <w:szCs w:val="27"/>
          </w:rPr>
          <w:t>http://www.ada.gov/votingchecklist.htm</w:t>
        </w:r>
      </w:hyperlink>
      <w:r w:rsidR="00486C99" w:rsidRPr="00E03344">
        <w:rPr>
          <w:rFonts w:ascii="Verdana" w:hAnsi="Verdana"/>
          <w:sz w:val="27"/>
          <w:szCs w:val="27"/>
        </w:rPr>
        <w:t xml:space="preserve">. </w:t>
      </w:r>
      <w:r w:rsidR="00E03344">
        <w:rPr>
          <w:rFonts w:ascii="Verdana" w:hAnsi="Verdana"/>
          <w:sz w:val="27"/>
          <w:szCs w:val="27"/>
        </w:rPr>
        <w:t xml:space="preserve"> </w:t>
      </w:r>
      <w:r w:rsidR="00290B84" w:rsidRPr="00E03344">
        <w:rPr>
          <w:rFonts w:ascii="Verdana" w:hAnsi="Verdana"/>
          <w:sz w:val="27"/>
          <w:szCs w:val="27"/>
        </w:rPr>
        <w:t xml:space="preserve">WVA’s Voting Rights video, </w:t>
      </w:r>
      <w:r w:rsidR="00290B84" w:rsidRPr="00E03344">
        <w:rPr>
          <w:rFonts w:ascii="Verdana" w:hAnsi="Verdana"/>
          <w:i/>
          <w:sz w:val="27"/>
          <w:szCs w:val="27"/>
        </w:rPr>
        <w:t>People With Disabilities Vote!,</w:t>
      </w:r>
      <w:r w:rsidR="00290B84" w:rsidRPr="00E03344">
        <w:rPr>
          <w:rFonts w:ascii="Verdana" w:hAnsi="Verdana"/>
          <w:sz w:val="27"/>
          <w:szCs w:val="27"/>
        </w:rPr>
        <w:t xml:space="preserve"> can be found online at: </w:t>
      </w:r>
      <w:hyperlink r:id="rId9" w:history="1">
        <w:r w:rsidR="00290B84" w:rsidRPr="00E03344">
          <w:rPr>
            <w:rStyle w:val="Hyperlink"/>
            <w:rFonts w:ascii="Verdana" w:hAnsi="Verdana"/>
            <w:sz w:val="27"/>
            <w:szCs w:val="27"/>
          </w:rPr>
          <w:t>http://www.youtube.com/user/wvadvocates</w:t>
        </w:r>
      </w:hyperlink>
      <w:r w:rsidR="00290B84" w:rsidRPr="00E03344">
        <w:rPr>
          <w:rStyle w:val="Hyperlink"/>
          <w:rFonts w:ascii="Verdana" w:hAnsi="Verdana"/>
          <w:color w:val="0000FF"/>
          <w:sz w:val="27"/>
          <w:szCs w:val="27"/>
        </w:rPr>
        <w:t>.</w:t>
      </w:r>
      <w:r w:rsidR="00E03344">
        <w:rPr>
          <w:rStyle w:val="Hyperlink"/>
          <w:rFonts w:ascii="Verdana" w:hAnsi="Verdana"/>
          <w:color w:val="0000FF"/>
          <w:sz w:val="27"/>
          <w:szCs w:val="27"/>
        </w:rPr>
        <w:br/>
      </w:r>
    </w:p>
    <w:p w14:paraId="0DFF895D" w14:textId="77777777" w:rsidR="00E03344" w:rsidRDefault="00447914" w:rsidP="00290B84">
      <w:p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sz w:val="27"/>
          <w:szCs w:val="27"/>
        </w:rPr>
        <w:t xml:space="preserve">Please contact West Virginia Advocates at 304-346-0847 or toll free at 1-800-950-5250 if you have any questions regarding the information provided, or need assistance. </w:t>
      </w:r>
    </w:p>
    <w:p w14:paraId="1F45626B" w14:textId="77777777" w:rsidR="00347DC7" w:rsidRDefault="00447914" w:rsidP="00030B57">
      <w:pPr>
        <w:jc w:val="both"/>
        <w:rPr>
          <w:rFonts w:ascii="Verdana" w:hAnsi="Verdana"/>
          <w:sz w:val="27"/>
          <w:szCs w:val="27"/>
        </w:rPr>
      </w:pPr>
      <w:r w:rsidRPr="00E03344">
        <w:rPr>
          <w:rFonts w:ascii="Verdana" w:hAnsi="Verdana"/>
          <w:sz w:val="27"/>
          <w:szCs w:val="27"/>
        </w:rPr>
        <w:t xml:space="preserve">WVA’s website may be an additional resource for you.  It includes a wealth of useful information on various disability and non-disability topics.  Go to </w:t>
      </w:r>
      <w:hyperlink r:id="rId10" w:history="1">
        <w:r w:rsidRPr="00E03344">
          <w:rPr>
            <w:rStyle w:val="Hyperlink"/>
            <w:rFonts w:ascii="Verdana" w:hAnsi="Verdana"/>
            <w:sz w:val="27"/>
            <w:szCs w:val="27"/>
          </w:rPr>
          <w:t>www.wvadvocates.org</w:t>
        </w:r>
      </w:hyperlink>
      <w:r w:rsidRPr="00E03344">
        <w:rPr>
          <w:rFonts w:ascii="Verdana" w:hAnsi="Verdana"/>
          <w:sz w:val="27"/>
          <w:szCs w:val="27"/>
        </w:rPr>
        <w:t xml:space="preserve"> and choose the “Resources” tab.  From there, scroll down to the category that interests you.  Please check back for frequently for updates and additions.  WVA </w:t>
      </w:r>
      <w:r w:rsidR="00E03344">
        <w:rPr>
          <w:rFonts w:ascii="Verdana" w:hAnsi="Verdana"/>
          <w:sz w:val="27"/>
          <w:szCs w:val="27"/>
        </w:rPr>
        <w:t xml:space="preserve">can also be found on Facebook. </w:t>
      </w:r>
      <w:r w:rsidRPr="00E03344">
        <w:rPr>
          <w:rFonts w:ascii="Verdana" w:hAnsi="Verdana"/>
          <w:sz w:val="27"/>
          <w:szCs w:val="27"/>
        </w:rPr>
        <w:t xml:space="preserve">Go to </w:t>
      </w:r>
      <w:hyperlink r:id="rId11" w:history="1">
        <w:r w:rsidRPr="00E03344">
          <w:rPr>
            <w:rStyle w:val="Hyperlink"/>
            <w:rFonts w:ascii="Verdana" w:hAnsi="Verdana"/>
            <w:sz w:val="27"/>
            <w:szCs w:val="27"/>
          </w:rPr>
          <w:t>http://www.facebook.com/wvadvocates</w:t>
        </w:r>
      </w:hyperlink>
      <w:r w:rsidRPr="00E03344">
        <w:rPr>
          <w:rFonts w:ascii="Verdana" w:hAnsi="Verdana"/>
          <w:sz w:val="27"/>
          <w:szCs w:val="27"/>
        </w:rPr>
        <w:t xml:space="preserve"> then “like” us to receive updates.</w:t>
      </w:r>
    </w:p>
    <w:p w14:paraId="43DD6E19" w14:textId="77777777" w:rsidR="009A7FFB" w:rsidRPr="009A7FFB" w:rsidRDefault="009A7FFB" w:rsidP="00030B57">
      <w:pPr>
        <w:jc w:val="both"/>
        <w:rPr>
          <w:rFonts w:ascii="Verdana" w:hAnsi="Verdana"/>
          <w:sz w:val="27"/>
          <w:szCs w:val="27"/>
        </w:rPr>
      </w:pPr>
      <w:r w:rsidRPr="009A7FFB">
        <w:rPr>
          <w:rFonts w:ascii="Verdana" w:hAnsi="Verdana"/>
          <w:sz w:val="27"/>
          <w:szCs w:val="27"/>
        </w:rPr>
        <w:lastRenderedPageBreak/>
        <w:t>Funding for this publication is provided by the U.S. Department of Health and Human Services, Administration for Community Living, Administration on Intellectual and Developmental Disabilities.</w:t>
      </w:r>
    </w:p>
    <w:sectPr w:rsidR="009A7FFB" w:rsidRPr="009A7FFB" w:rsidSect="00030B57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327"/>
    <w:multiLevelType w:val="hybridMultilevel"/>
    <w:tmpl w:val="03182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2DBA"/>
    <w:multiLevelType w:val="hybridMultilevel"/>
    <w:tmpl w:val="044AF13E"/>
    <w:lvl w:ilvl="0" w:tplc="978EA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015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08215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C475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693B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4B06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4B1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0E2B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0386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3D72"/>
    <w:multiLevelType w:val="hybridMultilevel"/>
    <w:tmpl w:val="B12A0D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0CF1"/>
    <w:multiLevelType w:val="hybridMultilevel"/>
    <w:tmpl w:val="4978EE0C"/>
    <w:lvl w:ilvl="0" w:tplc="D8E20A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2F6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C400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2F20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4D47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0AB0B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4256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2EF6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6A0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14"/>
    <w:rsid w:val="00030B57"/>
    <w:rsid w:val="000F6724"/>
    <w:rsid w:val="001C046E"/>
    <w:rsid w:val="00290B84"/>
    <w:rsid w:val="00343499"/>
    <w:rsid w:val="00347DC7"/>
    <w:rsid w:val="003D3272"/>
    <w:rsid w:val="00410BEC"/>
    <w:rsid w:val="00447914"/>
    <w:rsid w:val="00452E22"/>
    <w:rsid w:val="00486C99"/>
    <w:rsid w:val="00602BAF"/>
    <w:rsid w:val="00735D2B"/>
    <w:rsid w:val="007B0EED"/>
    <w:rsid w:val="00930170"/>
    <w:rsid w:val="009A7FFB"/>
    <w:rsid w:val="00A46ADA"/>
    <w:rsid w:val="00D02A19"/>
    <w:rsid w:val="00DC6C3F"/>
    <w:rsid w:val="00DE4F6D"/>
    <w:rsid w:val="00E03344"/>
    <w:rsid w:val="00E83B91"/>
    <w:rsid w:val="00ED79FF"/>
    <w:rsid w:val="00F0539E"/>
    <w:rsid w:val="00F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4C55"/>
  <w15:docId w15:val="{E130FD39-A548-4913-BD6C-0F863166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9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1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99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030B57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86C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.gov/votingchecklis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ac.gov/making_polling_places_accessibl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wvadvoca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vadvocat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user/wvadvoc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B42C-88E2-4A71-B460-CF6FC3B6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Hausch</dc:creator>
  <cp:lastModifiedBy>Terry Hickernell</cp:lastModifiedBy>
  <cp:revision>14</cp:revision>
  <cp:lastPrinted>2014-07-30T18:49:00Z</cp:lastPrinted>
  <dcterms:created xsi:type="dcterms:W3CDTF">2015-07-01T19:41:00Z</dcterms:created>
  <dcterms:modified xsi:type="dcterms:W3CDTF">2020-01-30T19:52:00Z</dcterms:modified>
</cp:coreProperties>
</file>